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b w:val="0"/>
          <w:bCs/>
          <w:sz w:val="32"/>
          <w:szCs w:val="32"/>
          <w:lang w:eastAsia="zh-CN"/>
        </w:rPr>
      </w:pPr>
      <w:r>
        <w:rPr>
          <w:rFonts w:hint="eastAsia" w:ascii="方正小标宋简体" w:hAnsi="方正小标宋简体" w:eastAsia="方正小标宋简体" w:cs="方正小标宋简体"/>
          <w:b w:val="0"/>
          <w:bCs/>
          <w:sz w:val="32"/>
          <w:szCs w:val="32"/>
          <w:lang w:eastAsia="zh-CN"/>
        </w:rPr>
        <w:t>化学化工学院开展</w:t>
      </w:r>
      <w:r>
        <w:rPr>
          <w:rFonts w:hint="eastAsia" w:ascii="方正小标宋简体" w:hAnsi="方正小标宋简体" w:eastAsia="方正小标宋简体" w:cs="方正小标宋简体"/>
          <w:b w:val="0"/>
          <w:bCs/>
          <w:sz w:val="32"/>
          <w:szCs w:val="32"/>
        </w:rPr>
        <w:t>诚信</w:t>
      </w:r>
      <w:r>
        <w:rPr>
          <w:rFonts w:hint="eastAsia" w:ascii="方正小标宋简体" w:hAnsi="方正小标宋简体" w:eastAsia="方正小标宋简体" w:cs="方正小标宋简体"/>
          <w:b w:val="0"/>
          <w:bCs/>
          <w:sz w:val="32"/>
          <w:szCs w:val="32"/>
          <w:lang w:eastAsia="zh-CN"/>
        </w:rPr>
        <w:t>教育</w:t>
      </w:r>
      <w:r>
        <w:rPr>
          <w:rFonts w:hint="eastAsia" w:ascii="方正小标宋简体" w:hAnsi="方正小标宋简体" w:eastAsia="方正小标宋简体" w:cs="方正小标宋简体"/>
          <w:b w:val="0"/>
          <w:bCs/>
          <w:sz w:val="32"/>
          <w:szCs w:val="32"/>
        </w:rPr>
        <w:t>系列主题活动</w:t>
      </w:r>
      <w:bookmarkStart w:id="0" w:name="_GoBack"/>
      <w:bookmarkEnd w:id="0"/>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b w:val="0"/>
          <w:bCs w:val="0"/>
          <w:sz w:val="30"/>
          <w:szCs w:val="30"/>
        </w:rPr>
      </w:pPr>
      <w:r>
        <w:rPr>
          <w:rFonts w:hint="eastAsia" w:ascii="仿宋" w:hAnsi="仿宋" w:eastAsia="仿宋" w:cs="仿宋"/>
          <w:sz w:val="30"/>
          <w:szCs w:val="30"/>
        </w:rPr>
        <w:t>诚信是中华民族的传统美德，也是社会主义核心价值观的重要内容，更是大学生立身为人、成长成才的必备品质。</w:t>
      </w:r>
      <w:r>
        <w:rPr>
          <w:rFonts w:hint="eastAsia" w:ascii="仿宋" w:hAnsi="仿宋" w:eastAsia="仿宋" w:cs="仿宋"/>
          <w:b w:val="0"/>
          <w:bCs w:val="0"/>
          <w:sz w:val="30"/>
          <w:szCs w:val="30"/>
          <w:lang w:eastAsia="zh-CN"/>
        </w:rPr>
        <w:t>根据校学工部资助中心《关于开展中南大学2019年度学生资助诚信教育主题活动的通知》要求</w:t>
      </w:r>
      <w:r>
        <w:rPr>
          <w:rFonts w:hint="eastAsia" w:ascii="仿宋" w:hAnsi="仿宋" w:eastAsia="仿宋" w:cs="仿宋"/>
          <w:b w:val="0"/>
          <w:bCs w:val="0"/>
          <w:sz w:val="30"/>
          <w:szCs w:val="30"/>
        </w:rPr>
        <w:t>，</w:t>
      </w:r>
      <w:r>
        <w:rPr>
          <w:rFonts w:hint="eastAsia" w:ascii="仿宋" w:hAnsi="仿宋" w:eastAsia="仿宋" w:cs="仿宋"/>
          <w:b w:val="0"/>
          <w:bCs w:val="0"/>
          <w:sz w:val="30"/>
          <w:szCs w:val="30"/>
          <w:lang w:eastAsia="zh-CN"/>
        </w:rPr>
        <w:t>化学化工学院积极</w:t>
      </w:r>
      <w:r>
        <w:rPr>
          <w:rFonts w:hint="eastAsia" w:ascii="仿宋" w:hAnsi="仿宋" w:eastAsia="仿宋" w:cs="仿宋"/>
          <w:b w:val="0"/>
          <w:bCs w:val="0"/>
          <w:sz w:val="30"/>
          <w:szCs w:val="30"/>
        </w:rPr>
        <w:t>举办诚信</w:t>
      </w:r>
      <w:r>
        <w:rPr>
          <w:rFonts w:hint="eastAsia" w:ascii="仿宋" w:hAnsi="仿宋" w:eastAsia="仿宋" w:cs="仿宋"/>
          <w:b w:val="0"/>
          <w:bCs w:val="0"/>
          <w:sz w:val="30"/>
          <w:szCs w:val="30"/>
          <w:lang w:eastAsia="zh-CN"/>
        </w:rPr>
        <w:t>教育</w:t>
      </w:r>
      <w:r>
        <w:rPr>
          <w:rFonts w:hint="eastAsia" w:ascii="仿宋" w:hAnsi="仿宋" w:eastAsia="仿宋" w:cs="仿宋"/>
          <w:b w:val="0"/>
          <w:bCs w:val="0"/>
          <w:sz w:val="30"/>
          <w:szCs w:val="30"/>
        </w:rPr>
        <w:t>主题</w:t>
      </w:r>
      <w:r>
        <w:rPr>
          <w:rFonts w:hint="eastAsia" w:ascii="仿宋" w:hAnsi="仿宋" w:eastAsia="仿宋" w:cs="仿宋"/>
          <w:b w:val="0"/>
          <w:bCs w:val="0"/>
          <w:sz w:val="30"/>
          <w:szCs w:val="30"/>
          <w:lang w:eastAsia="zh-CN"/>
        </w:rPr>
        <w:t>活动</w:t>
      </w:r>
      <w:r>
        <w:rPr>
          <w:rFonts w:hint="eastAsia" w:ascii="仿宋" w:hAnsi="仿宋" w:eastAsia="仿宋" w:cs="仿宋"/>
          <w:sz w:val="30"/>
          <w:szCs w:val="30"/>
        </w:rPr>
        <w:t>，在新校区化工楼大厅展出</w:t>
      </w:r>
      <w:r>
        <w:rPr>
          <w:rFonts w:hint="eastAsia" w:ascii="仿宋" w:hAnsi="仿宋" w:eastAsia="仿宋" w:cs="仿宋"/>
          <w:sz w:val="30"/>
          <w:szCs w:val="30"/>
          <w:lang w:eastAsia="zh-CN"/>
        </w:rPr>
        <w:t>“</w:t>
      </w:r>
      <w:r>
        <w:rPr>
          <w:rFonts w:hint="eastAsia" w:ascii="仿宋" w:hAnsi="仿宋" w:eastAsia="仿宋" w:cs="仿宋"/>
          <w:sz w:val="30"/>
          <w:szCs w:val="30"/>
        </w:rPr>
        <w:t>诚信</w:t>
      </w:r>
      <w:r>
        <w:rPr>
          <w:rFonts w:hint="eastAsia" w:ascii="仿宋" w:hAnsi="仿宋" w:eastAsia="仿宋" w:cs="仿宋"/>
          <w:sz w:val="30"/>
          <w:szCs w:val="30"/>
          <w:lang w:eastAsia="zh-CN"/>
        </w:rPr>
        <w:t>”</w:t>
      </w:r>
      <w:r>
        <w:rPr>
          <w:rFonts w:hint="eastAsia" w:ascii="仿宋" w:hAnsi="仿宋" w:eastAsia="仿宋" w:cs="仿宋"/>
          <w:sz w:val="30"/>
          <w:szCs w:val="30"/>
        </w:rPr>
        <w:t>主题</w:t>
      </w:r>
      <w:r>
        <w:rPr>
          <w:rFonts w:hint="eastAsia" w:ascii="仿宋" w:hAnsi="仿宋" w:eastAsia="仿宋" w:cs="仿宋"/>
          <w:sz w:val="30"/>
          <w:szCs w:val="30"/>
          <w:lang w:eastAsia="zh-CN"/>
        </w:rPr>
        <w:t>系列展板</w:t>
      </w:r>
      <w:r>
        <w:rPr>
          <w:rFonts w:hint="eastAsia" w:ascii="仿宋" w:hAnsi="仿宋" w:eastAsia="仿宋" w:cs="仿宋"/>
          <w:b w:val="0"/>
          <w:bCs w:val="0"/>
          <w:sz w:val="30"/>
          <w:szCs w:val="30"/>
          <w:lang w:eastAsia="zh-CN"/>
        </w:rPr>
        <w:t>，并结合线上测试</w:t>
      </w:r>
      <w:r>
        <w:rPr>
          <w:rFonts w:hint="eastAsia" w:ascii="仿宋" w:hAnsi="仿宋" w:eastAsia="仿宋" w:cs="仿宋"/>
          <w:b w:val="0"/>
          <w:bCs w:val="0"/>
          <w:sz w:val="30"/>
          <w:szCs w:val="30"/>
        </w:rPr>
        <w:t>，</w:t>
      </w:r>
      <w:r>
        <w:rPr>
          <w:rFonts w:hint="eastAsia" w:ascii="仿宋" w:hAnsi="仿宋" w:eastAsia="仿宋" w:cs="仿宋"/>
          <w:b w:val="0"/>
          <w:bCs w:val="0"/>
          <w:sz w:val="30"/>
          <w:szCs w:val="30"/>
          <w:lang w:eastAsia="zh-CN"/>
        </w:rPr>
        <w:t>全方位</w:t>
      </w:r>
      <w:r>
        <w:rPr>
          <w:rFonts w:hint="eastAsia" w:ascii="仿宋" w:hAnsi="仿宋" w:eastAsia="仿宋" w:cs="仿宋"/>
          <w:b w:val="0"/>
          <w:bCs w:val="0"/>
          <w:sz w:val="30"/>
          <w:szCs w:val="30"/>
        </w:rPr>
        <w:t>宣传国家助学贷款及</w:t>
      </w:r>
      <w:r>
        <w:rPr>
          <w:rFonts w:hint="eastAsia" w:ascii="仿宋" w:hAnsi="仿宋" w:eastAsia="仿宋" w:cs="仿宋"/>
          <w:b w:val="0"/>
          <w:bCs w:val="0"/>
          <w:sz w:val="30"/>
          <w:szCs w:val="30"/>
          <w:lang w:eastAsia="zh-CN"/>
        </w:rPr>
        <w:t>其他</w:t>
      </w:r>
      <w:r>
        <w:rPr>
          <w:rFonts w:hint="eastAsia" w:ascii="仿宋" w:hAnsi="仿宋" w:eastAsia="仿宋" w:cs="仿宋"/>
          <w:b w:val="0"/>
          <w:bCs w:val="0"/>
          <w:sz w:val="30"/>
          <w:szCs w:val="30"/>
        </w:rPr>
        <w:t>资助政策，普及金融</w:t>
      </w:r>
      <w:r>
        <w:rPr>
          <w:rFonts w:hint="eastAsia" w:ascii="仿宋" w:hAnsi="仿宋" w:eastAsia="仿宋" w:cs="仿宋"/>
          <w:b w:val="0"/>
          <w:bCs w:val="0"/>
          <w:sz w:val="30"/>
          <w:szCs w:val="30"/>
          <w:lang w:eastAsia="zh-CN"/>
        </w:rPr>
        <w:t>、</w:t>
      </w:r>
      <w:r>
        <w:rPr>
          <w:rFonts w:hint="eastAsia" w:ascii="仿宋" w:hAnsi="仿宋" w:eastAsia="仿宋" w:cs="仿宋"/>
          <w:b w:val="0"/>
          <w:bCs w:val="0"/>
          <w:sz w:val="30"/>
          <w:szCs w:val="30"/>
        </w:rPr>
        <w:t>征信等相关知识，陈列诚实守信</w:t>
      </w:r>
      <w:r>
        <w:rPr>
          <w:rFonts w:hint="eastAsia" w:ascii="仿宋" w:hAnsi="仿宋" w:eastAsia="仿宋" w:cs="仿宋"/>
          <w:b w:val="0"/>
          <w:bCs w:val="0"/>
          <w:sz w:val="30"/>
          <w:szCs w:val="30"/>
          <w:lang w:eastAsia="zh-CN"/>
        </w:rPr>
        <w:t>先进</w:t>
      </w:r>
      <w:r>
        <w:rPr>
          <w:rFonts w:hint="eastAsia" w:ascii="仿宋" w:hAnsi="仿宋" w:eastAsia="仿宋" w:cs="仿宋"/>
          <w:b w:val="0"/>
          <w:bCs w:val="0"/>
          <w:sz w:val="30"/>
          <w:szCs w:val="30"/>
        </w:rPr>
        <w:t>事迹，倡导契约精神，</w:t>
      </w:r>
      <w:r>
        <w:rPr>
          <w:rFonts w:hint="eastAsia" w:ascii="仿宋" w:hAnsi="仿宋" w:eastAsia="仿宋" w:cs="仿宋"/>
          <w:b w:val="0"/>
          <w:bCs w:val="0"/>
          <w:sz w:val="30"/>
          <w:szCs w:val="30"/>
          <w:lang w:eastAsia="zh-CN"/>
        </w:rPr>
        <w:t>引导</w:t>
      </w:r>
      <w:r>
        <w:rPr>
          <w:rFonts w:hint="eastAsia" w:ascii="仿宋" w:hAnsi="仿宋" w:eastAsia="仿宋" w:cs="仿宋"/>
          <w:b w:val="0"/>
          <w:bCs w:val="0"/>
          <w:sz w:val="30"/>
          <w:szCs w:val="30"/>
        </w:rPr>
        <w:t>学生树立诚信观念</w:t>
      </w:r>
      <w:r>
        <w:rPr>
          <w:rFonts w:hint="eastAsia" w:ascii="仿宋" w:hAnsi="仿宋" w:eastAsia="仿宋" w:cs="仿宋"/>
          <w:b w:val="0"/>
          <w:bCs w:val="0"/>
          <w:sz w:val="30"/>
          <w:szCs w:val="30"/>
          <w:lang w:eastAsia="zh-CN"/>
        </w:rPr>
        <w:t>，</w:t>
      </w:r>
      <w:r>
        <w:rPr>
          <w:rFonts w:hint="eastAsia" w:ascii="仿宋" w:hAnsi="仿宋" w:eastAsia="仿宋" w:cs="仿宋"/>
          <w:b w:val="0"/>
          <w:bCs w:val="0"/>
          <w:sz w:val="30"/>
          <w:szCs w:val="30"/>
        </w:rPr>
        <w:t>增强法律意识，将诚信教育转化为大学生自觉的素养和行为。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rPr>
      </w:pPr>
    </w:p>
    <w:p>
      <w:pPr>
        <w:rPr>
          <w:rFonts w:ascii="Times New Roman" w:hAnsi="Times New Roman" w:eastAsia="宋体" w:cs="Times New Roman"/>
        </w:rPr>
      </w:pPr>
      <w:r>
        <w:rPr>
          <w:rFonts w:ascii="Times New Roman" w:hAnsi="Times New Roman" w:eastAsia="宋体" w:cs="Times New Roman"/>
        </w:rPr>
        <w:drawing>
          <wp:inline distT="0" distB="0" distL="0" distR="0">
            <wp:extent cx="2559050" cy="1706245"/>
            <wp:effectExtent l="19050" t="19050" r="12700" b="273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59600" cy="1706400"/>
                    </a:xfrm>
                    <a:prstGeom prst="rect">
                      <a:avLst/>
                    </a:prstGeom>
                    <a:ln w="6350">
                      <a:solidFill>
                        <a:sysClr val="windowText" lastClr="000000"/>
                      </a:solidFill>
                    </a:ln>
                  </pic:spPr>
                </pic:pic>
              </a:graphicData>
            </a:graphic>
          </wp:inline>
        </w:drawing>
      </w:r>
      <w:r>
        <w:rPr>
          <w:rFonts w:hint="eastAsia" w:ascii="Times New Roman" w:hAnsi="Times New Roman" w:eastAsia="宋体" w:cs="Times New Roman"/>
        </w:rPr>
        <w:t xml:space="preserve"> </w:t>
      </w:r>
      <w:r>
        <w:rPr>
          <w:rFonts w:ascii="Times New Roman" w:hAnsi="Times New Roman" w:eastAsia="宋体" w:cs="Times New Roman"/>
        </w:rPr>
        <w:drawing>
          <wp:inline distT="0" distB="0" distL="0" distR="0">
            <wp:extent cx="2559050" cy="1706245"/>
            <wp:effectExtent l="19050" t="19050" r="12700" b="273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59600" cy="1706400"/>
                    </a:xfrm>
                    <a:prstGeom prst="rect">
                      <a:avLst/>
                    </a:prstGeom>
                    <a:ln w="6350">
                      <a:solidFill>
                        <a:sysClr val="windowText" lastClr="000000"/>
                      </a:solidFill>
                    </a:ln>
                  </pic:spPr>
                </pic:pic>
              </a:graphicData>
            </a:graphic>
          </wp:inline>
        </w:drawing>
      </w:r>
    </w:p>
    <w:p>
      <w:pPr>
        <w:jc w:val="center"/>
        <w:rPr>
          <w:rFonts w:ascii="楷体" w:hAnsi="楷体" w:eastAsia="楷体" w:cs="Times New Roman"/>
          <w:b/>
        </w:rPr>
      </w:pPr>
      <w:r>
        <w:rPr>
          <w:rFonts w:hint="eastAsia" w:ascii="楷体" w:hAnsi="楷体" w:eastAsia="楷体" w:cs="Times New Roman"/>
          <w:b/>
        </w:rPr>
        <w:t>板报展出照片</w:t>
      </w: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textAlignment w:val="auto"/>
        <w:rPr>
          <w:rFonts w:hint="eastAsia" w:ascii="仿宋" w:hAnsi="仿宋" w:eastAsia="仿宋" w:cs="仿宋"/>
          <w:sz w:val="30"/>
          <w:szCs w:val="30"/>
          <w:lang w:eastAsia="zh-CN"/>
        </w:rPr>
      </w:pPr>
      <w:r>
        <w:rPr>
          <w:rFonts w:hint="eastAsia" w:ascii="仿宋" w:hAnsi="仿宋" w:eastAsia="仿宋" w:cs="仿宋"/>
          <w:sz w:val="30"/>
          <w:szCs w:val="30"/>
          <w:lang w:eastAsia="zh-CN"/>
        </w:rPr>
        <w:t>展板内容从诚信先进事迹到道德失信案例，从国家助学贷款、资助体系政策到个人征信小常识，从权利到义务，从社会现象到日常生活，全面覆盖大学生生活所能触及的征信体系。</w:t>
      </w: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textAlignment w:val="auto"/>
        <w:rPr>
          <w:rFonts w:hint="eastAsia" w:ascii="仿宋" w:hAnsi="仿宋" w:eastAsia="仿宋" w:cs="仿宋"/>
          <w:sz w:val="30"/>
          <w:szCs w:val="30"/>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rPr>
          <w:rFonts w:hint="eastAsia" w:ascii="仿宋" w:hAnsi="仿宋" w:eastAsia="仿宋" w:cs="仿宋"/>
          <w:sz w:val="30"/>
          <w:szCs w:val="30"/>
        </w:rPr>
      </w:pPr>
      <w:r>
        <w:drawing>
          <wp:anchor distT="0" distB="0" distL="114300" distR="114300" simplePos="0" relativeHeight="251660288" behindDoc="0" locked="0" layoutInCell="1" allowOverlap="1">
            <wp:simplePos x="0" y="0"/>
            <wp:positionH relativeFrom="column">
              <wp:posOffset>2858135</wp:posOffset>
            </wp:positionH>
            <wp:positionV relativeFrom="paragraph">
              <wp:posOffset>-9378315</wp:posOffset>
            </wp:positionV>
            <wp:extent cx="2559685" cy="2510790"/>
            <wp:effectExtent l="9525" t="9525" r="21590" b="1333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2559685" cy="2510790"/>
                    </a:xfrm>
                    <a:prstGeom prst="rect">
                      <a:avLst/>
                    </a:prstGeom>
                    <a:noFill/>
                    <a:ln w="6350">
                      <a:solidFill>
                        <a:schemeClr val="tx1"/>
                      </a:solidFill>
                    </a:ln>
                  </pic:spPr>
                </pic:pic>
              </a:graphicData>
            </a:graphic>
          </wp:anchor>
        </w:drawing>
      </w:r>
      <w:r>
        <w:drawing>
          <wp:anchor distT="0" distB="0" distL="114300" distR="114300" simplePos="0" relativeHeight="251659264" behindDoc="0" locked="0" layoutInCell="1" allowOverlap="1">
            <wp:simplePos x="0" y="0"/>
            <wp:positionH relativeFrom="column">
              <wp:posOffset>-361950</wp:posOffset>
            </wp:positionH>
            <wp:positionV relativeFrom="paragraph">
              <wp:posOffset>-9378315</wp:posOffset>
            </wp:positionV>
            <wp:extent cx="2559685" cy="2498090"/>
            <wp:effectExtent l="9525" t="9525" r="21590" b="26035"/>
            <wp:wrapSquare wrapText="bothSides"/>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
                    <a:stretch>
                      <a:fillRect/>
                    </a:stretch>
                  </pic:blipFill>
                  <pic:spPr>
                    <a:xfrm>
                      <a:off x="0" y="0"/>
                      <a:ext cx="2559685" cy="2498090"/>
                    </a:xfrm>
                    <a:prstGeom prst="rect">
                      <a:avLst/>
                    </a:prstGeom>
                    <a:noFill/>
                    <a:ln>
                      <a:solidFill>
                        <a:schemeClr val="tx1"/>
                      </a:solidFill>
                    </a:ln>
                  </pic:spPr>
                </pic:pic>
              </a:graphicData>
            </a:graphic>
          </wp:anchor>
        </w:drawing>
      </w:r>
      <w:r>
        <w:rPr>
          <w:rFonts w:hint="eastAsia" w:ascii="仿宋" w:hAnsi="仿宋" w:eastAsia="仿宋" w:cs="仿宋"/>
          <w:sz w:val="30"/>
          <w:szCs w:val="30"/>
        </w:rPr>
        <w:t>为提高线下</w:t>
      </w:r>
      <w:r>
        <w:rPr>
          <w:rFonts w:hint="eastAsia" w:ascii="仿宋" w:hAnsi="仿宋" w:eastAsia="仿宋" w:cs="仿宋"/>
          <w:sz w:val="30"/>
          <w:szCs w:val="30"/>
          <w:lang w:eastAsia="zh-CN"/>
        </w:rPr>
        <w:t>图片</w:t>
      </w:r>
      <w:r>
        <w:rPr>
          <w:rFonts w:hint="eastAsia" w:ascii="仿宋" w:hAnsi="仿宋" w:eastAsia="仿宋" w:cs="仿宋"/>
          <w:sz w:val="30"/>
          <w:szCs w:val="30"/>
        </w:rPr>
        <w:t>展览参与度</w:t>
      </w:r>
      <w:r>
        <w:rPr>
          <w:rFonts w:hint="eastAsia" w:ascii="仿宋" w:hAnsi="仿宋" w:eastAsia="仿宋" w:cs="仿宋"/>
          <w:sz w:val="30"/>
          <w:szCs w:val="30"/>
          <w:lang w:eastAsia="zh-CN"/>
        </w:rPr>
        <w:t>，强化诚信教育效果，我院针对全体学生开展问卷调查活动，将参与活动的</w:t>
      </w:r>
      <w:r>
        <w:rPr>
          <w:rFonts w:hint="eastAsia" w:ascii="仿宋" w:hAnsi="仿宋" w:eastAsia="仿宋" w:cs="仿宋"/>
          <w:sz w:val="30"/>
          <w:szCs w:val="30"/>
        </w:rPr>
        <w:t>二维码印制在展板上</w:t>
      </w:r>
      <w:r>
        <w:rPr>
          <w:rFonts w:hint="eastAsia" w:ascii="仿宋" w:hAnsi="仿宋" w:eastAsia="仿宋" w:cs="仿宋"/>
          <w:sz w:val="30"/>
          <w:szCs w:val="30"/>
          <w:lang w:eastAsia="zh-CN"/>
        </w:rPr>
        <w:t>，测试内容既有对征信知识、资助政策掌握程度的考察，又有相关知识的普及。同时，为调动大家的积极性，对最终得分前</w:t>
      </w:r>
      <w:r>
        <w:rPr>
          <w:rFonts w:hint="eastAsia" w:ascii="仿宋" w:hAnsi="仿宋" w:eastAsia="仿宋" w:cs="仿宋"/>
          <w:sz w:val="30"/>
          <w:szCs w:val="30"/>
          <w:lang w:val="en-US" w:eastAsia="zh-CN"/>
        </w:rPr>
        <w:t>20名的同学给予</w:t>
      </w:r>
      <w:r>
        <w:rPr>
          <w:rFonts w:hint="eastAsia" w:ascii="仿宋" w:hAnsi="仿宋" w:eastAsia="仿宋" w:cs="仿宋"/>
          <w:sz w:val="30"/>
          <w:szCs w:val="30"/>
          <w:lang w:eastAsia="zh-CN"/>
        </w:rPr>
        <w:t>“化语”系列文创</w:t>
      </w:r>
      <w:r>
        <w:rPr>
          <w:rFonts w:hint="eastAsia" w:ascii="仿宋" w:hAnsi="仿宋" w:eastAsia="仿宋" w:cs="仿宋"/>
          <w:sz w:val="30"/>
          <w:szCs w:val="30"/>
        </w:rPr>
        <w:t>奖品</w:t>
      </w:r>
      <w:r>
        <w:rPr>
          <w:rFonts w:hint="eastAsia" w:ascii="仿宋" w:hAnsi="仿宋" w:eastAsia="仿宋" w:cs="仿宋"/>
          <w:sz w:val="30"/>
          <w:szCs w:val="30"/>
          <w:lang w:eastAsia="zh-CN"/>
        </w:rPr>
        <w:t>。</w:t>
      </w:r>
      <w:r>
        <w:rPr>
          <w:rFonts w:hint="eastAsia" w:ascii="仿宋" w:hAnsi="仿宋" w:eastAsia="仿宋" w:cs="仿宋"/>
          <w:sz w:val="30"/>
          <w:szCs w:val="30"/>
        </w:rPr>
        <w:t>截止目前展览参观人数约</w:t>
      </w:r>
      <w:r>
        <w:rPr>
          <w:rFonts w:hint="eastAsia" w:ascii="仿宋" w:hAnsi="仿宋" w:eastAsia="仿宋" w:cs="仿宋"/>
          <w:sz w:val="30"/>
          <w:szCs w:val="30"/>
          <w:lang w:val="en-US" w:eastAsia="zh-CN"/>
        </w:rPr>
        <w:t>1000</w:t>
      </w:r>
      <w:r>
        <w:rPr>
          <w:rFonts w:hint="eastAsia" w:ascii="仿宋" w:hAnsi="仿宋" w:eastAsia="仿宋" w:cs="仿宋"/>
          <w:sz w:val="30"/>
          <w:szCs w:val="30"/>
        </w:rPr>
        <w:t>人次，问卷参与人数累计409人（无效问卷4份），各题</w:t>
      </w:r>
      <w:r>
        <w:rPr>
          <w:rFonts w:hint="eastAsia" w:ascii="仿宋" w:hAnsi="仿宋" w:eastAsia="仿宋" w:cs="仿宋"/>
          <w:sz w:val="30"/>
          <w:szCs w:val="30"/>
          <w:lang w:eastAsia="zh-CN"/>
        </w:rPr>
        <w:t>目</w:t>
      </w:r>
      <w:r>
        <w:rPr>
          <w:rFonts w:hint="eastAsia" w:ascii="仿宋" w:hAnsi="仿宋" w:eastAsia="仿宋" w:cs="仿宋"/>
          <w:sz w:val="30"/>
          <w:szCs w:val="30"/>
        </w:rPr>
        <w:t>正确率均在71%及以上,满分共计119人占比29.1%，及格率达76.3%。</w:t>
      </w: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此次诚信系列主题活动全方位立体的向同学们进行诚信相关知识的宣传推广，有效地将诚信教育转化为大学生自觉的素养和行为，活动</w:t>
      </w:r>
      <w:r>
        <w:rPr>
          <w:rFonts w:hint="eastAsia" w:ascii="仿宋" w:hAnsi="仿宋" w:eastAsia="仿宋" w:cs="仿宋"/>
          <w:sz w:val="30"/>
          <w:szCs w:val="30"/>
          <w:lang w:eastAsia="zh-CN"/>
        </w:rPr>
        <w:t>效果</w:t>
      </w:r>
      <w:r>
        <w:rPr>
          <w:rFonts w:hint="eastAsia" w:ascii="仿宋" w:hAnsi="仿宋" w:eastAsia="仿宋" w:cs="仿宋"/>
          <w:sz w:val="30"/>
          <w:szCs w:val="30"/>
        </w:rPr>
        <w:t>良好且在持续进行中。</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FB6"/>
    <w:rsid w:val="000E0266"/>
    <w:rsid w:val="001A4F0C"/>
    <w:rsid w:val="002973EA"/>
    <w:rsid w:val="0042181E"/>
    <w:rsid w:val="00472F9F"/>
    <w:rsid w:val="0057719C"/>
    <w:rsid w:val="0058374A"/>
    <w:rsid w:val="006F58E9"/>
    <w:rsid w:val="00943140"/>
    <w:rsid w:val="009C4AA1"/>
    <w:rsid w:val="00A416D2"/>
    <w:rsid w:val="00AB4725"/>
    <w:rsid w:val="00AD0A7C"/>
    <w:rsid w:val="00B14335"/>
    <w:rsid w:val="00CC6FB6"/>
    <w:rsid w:val="00D2054A"/>
    <w:rsid w:val="00F57502"/>
    <w:rsid w:val="080C7A77"/>
    <w:rsid w:val="1F3D19C8"/>
    <w:rsid w:val="367A2EB6"/>
    <w:rsid w:val="5B4151BD"/>
    <w:rsid w:val="7ED625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9"/>
    <w:qFormat/>
    <w:uiPriority w:val="1"/>
    <w:pPr>
      <w:pageBreakBefore/>
      <w:widowControl/>
      <w:spacing w:before="480" w:after="120"/>
      <w:jc w:val="left"/>
      <w:outlineLvl w:val="0"/>
    </w:pPr>
    <w:rPr>
      <w:rFonts w:eastAsia="宋体" w:asciiTheme="majorHAnsi" w:hAnsiTheme="majorHAnsi" w:cstheme="majorBidi"/>
      <w:b/>
      <w:bCs/>
      <w:color w:val="00B050"/>
      <w:kern w:val="0"/>
      <w:sz w:val="40"/>
      <w:szCs w:val="20"/>
    </w:rPr>
  </w:style>
  <w:style w:type="character" w:default="1" w:styleId="8">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0"/>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6">
    <w:name w:val="Title"/>
    <w:basedOn w:val="1"/>
    <w:next w:val="1"/>
    <w:qFormat/>
    <w:uiPriority w:val="0"/>
    <w:pPr>
      <w:keepNext/>
      <w:spacing w:beforeLines="50" w:afterLines="50" w:line="480" w:lineRule="exact"/>
      <w:jc w:val="left"/>
      <w:outlineLvl w:val="0"/>
    </w:pPr>
    <w:rPr>
      <w:rFonts w:ascii="Cambria" w:hAnsi="Cambria" w:cs="Cambria"/>
      <w:b/>
      <w:bCs/>
      <w:sz w:val="30"/>
      <w:szCs w:val="30"/>
    </w:rPr>
  </w:style>
  <w:style w:type="character" w:customStyle="1" w:styleId="9">
    <w:name w:val="标题 1 Char"/>
    <w:basedOn w:val="8"/>
    <w:link w:val="2"/>
    <w:qFormat/>
    <w:uiPriority w:val="1"/>
    <w:rPr>
      <w:rFonts w:eastAsia="宋体" w:asciiTheme="majorHAnsi" w:hAnsiTheme="majorHAnsi" w:cstheme="majorBidi"/>
      <w:b/>
      <w:bCs/>
      <w:color w:val="00B050"/>
      <w:kern w:val="0"/>
      <w:sz w:val="40"/>
      <w:szCs w:val="20"/>
    </w:rPr>
  </w:style>
  <w:style w:type="character" w:customStyle="1" w:styleId="10">
    <w:name w:val="批注框文本 Char"/>
    <w:basedOn w:val="8"/>
    <w:link w:val="3"/>
    <w:semiHidden/>
    <w:qFormat/>
    <w:uiPriority w:val="99"/>
    <w:rPr>
      <w:sz w:val="18"/>
      <w:szCs w:val="18"/>
    </w:rPr>
  </w:style>
  <w:style w:type="character" w:customStyle="1" w:styleId="11">
    <w:name w:val="页眉 Char"/>
    <w:basedOn w:val="8"/>
    <w:link w:val="5"/>
    <w:qFormat/>
    <w:uiPriority w:val="99"/>
    <w:rPr>
      <w:sz w:val="18"/>
      <w:szCs w:val="18"/>
    </w:rPr>
  </w:style>
  <w:style w:type="character" w:customStyle="1" w:styleId="12">
    <w:name w:val="页脚 Char"/>
    <w:basedOn w:val="8"/>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Pages>
  <Words>80</Words>
  <Characters>456</Characters>
  <Lines>3</Lines>
  <Paragraphs>1</Paragraphs>
  <TotalTime>20</TotalTime>
  <ScaleCrop>false</ScaleCrop>
  <LinksUpToDate>false</LinksUpToDate>
  <CharactersWithSpaces>535</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2019-06-12T15:11:00Z</dcterms:created>
  <dc:creator>张鑫</dc:creator>
  <cp:lastModifiedBy>Administrator</cp:lastModifiedBy>
  <dcterms:modified xsi:type="dcterms:W3CDTF">2019-06-17T10:12:26Z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